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  <w:r>
        <w:rPr>
          <w:rFonts w:eastAsia="Calibri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Лыхма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Лыхма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валюте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 w:val="false"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  <w:r>
              <w:rPr>
                <w:kern w:val="0"/>
                <w:lang w:val="ru-RU" w:bidi="ar-SA"/>
              </w:rPr>
              <w:t>(рублей)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630747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C039-5B1E-45CB-A230-699A7A0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LibreOffice/7.0.0.3$Windows_x86 LibreOffice_project/8061b3e9204bef6b321a21033174034a5e2ea88e</Application>
  <Pages>1</Pages>
  <Words>90</Words>
  <Characters>465</Characters>
  <CharactersWithSpaces>533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dc:description/>
  <dc:language>ru-RU</dc:language>
  <cp:lastModifiedBy/>
  <dcterms:modified xsi:type="dcterms:W3CDTF">2020-11-16T18:37:00Z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